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rPr>
          <w:rFonts w:ascii="Arial" w:hAnsi="Arial"/>
          <w:b/>
          <w:color w:val="111111"/>
          <w:sz w:val="44"/>
        </w:rPr>
        <w:t>AI Prohibition Policy</w:t>
      </w:r>
    </w:p>
    <w:p>
      <w:r>
        <w:rPr>
          <w:rFonts w:ascii="Arial" w:hAnsi="Arial"/>
          <w:i/>
          <w:color w:val="555555"/>
          <w:sz w:val="22"/>
        </w:rPr>
        <w:t>Template — complete the bracketed fields for your organisation</w:t>
      </w:r>
    </w:p>
    <w:p>
      <w:pPr>
        <w:spacing w:after="80"/>
        <w:pBdr>
          <w:bottom w:val="single" w:sz="18" w:space="1" w:color="DB2777"/>
        </w:pBdr>
      </w:pPr>
    </w:p>
    <w:p>
      <w:pPr>
        <w:spacing w:after="120"/>
      </w:pPr>
      <w:r>
        <w:rPr>
          <w:rFonts w:ascii="Arial" w:hAnsi="Arial"/>
          <w:b w:val="0"/>
          <w:i/>
          <w:color w:val="111111"/>
          <w:sz w:val="21"/>
        </w:rPr>
        <w:t>This policy defines what AI applications [COMPANY NAME] will not deploy — both because the law prohibits them, and because we choose not to, regardless of legality. Legal compliance is the floor; this document sets the ceiling.</w:t>
      </w:r>
    </w:p>
    <w:p>
      <w:pPr>
        <w:spacing w:after="80"/>
      </w:pPr>
      <w:r>
        <w:rPr>
          <w:rFonts w:ascii="Arial" w:hAnsi="Arial"/>
          <w:b/>
          <w:color w:val="111111"/>
          <w:sz w:val="21"/>
        </w:rPr>
        <w:t xml:space="preserve">Company name: </w:t>
      </w:r>
      <w:r>
        <w:rPr>
          <w:rFonts w:ascii="Arial" w:hAnsi="Arial"/>
          <w:i/>
          <w:color w:val="555555"/>
          <w:sz w:val="21"/>
        </w:rPr>
        <w:t>[Company name]</w:t>
      </w:r>
    </w:p>
    <w:p>
      <w:pPr>
        <w:spacing w:after="80"/>
      </w:pPr>
      <w:r>
        <w:rPr>
          <w:rFonts w:ascii="Arial" w:hAnsi="Arial"/>
          <w:b/>
          <w:color w:val="111111"/>
          <w:sz w:val="21"/>
        </w:rPr>
        <w:t xml:space="preserve">Policy owner: </w:t>
      </w:r>
      <w:r>
        <w:rPr>
          <w:rFonts w:ascii="Arial" w:hAnsi="Arial"/>
          <w:i/>
          <w:color w:val="555555"/>
          <w:sz w:val="21"/>
        </w:rPr>
        <w:t>[Policy owner]</w:t>
      </w:r>
    </w:p>
    <w:p>
      <w:pPr>
        <w:spacing w:after="80"/>
      </w:pPr>
      <w:r>
        <w:rPr>
          <w:rFonts w:ascii="Arial" w:hAnsi="Arial"/>
          <w:b/>
          <w:color w:val="111111"/>
          <w:sz w:val="21"/>
        </w:rPr>
        <w:t xml:space="preserve">Approved by: </w:t>
      </w:r>
      <w:r>
        <w:rPr>
          <w:rFonts w:ascii="Arial" w:hAnsi="Arial"/>
          <w:i/>
          <w:color w:val="555555"/>
          <w:sz w:val="21"/>
        </w:rPr>
        <w:t>[Approved by]</w:t>
      </w:r>
    </w:p>
    <w:p>
      <w:pPr>
        <w:spacing w:after="80"/>
      </w:pPr>
      <w:r>
        <w:rPr>
          <w:rFonts w:ascii="Arial" w:hAnsi="Arial"/>
          <w:b/>
          <w:color w:val="111111"/>
          <w:sz w:val="21"/>
        </w:rPr>
        <w:t xml:space="preserve">Effective date: </w:t>
      </w:r>
      <w:r>
        <w:rPr>
          <w:rFonts w:ascii="Arial" w:hAnsi="Arial"/>
          <w:i/>
          <w:color w:val="555555"/>
          <w:sz w:val="21"/>
        </w:rPr>
        <w:t>[Effective date]</w:t>
      </w:r>
    </w:p>
    <w:p>
      <w:pPr>
        <w:spacing w:after="80"/>
      </w:pPr>
      <w:r>
        <w:rPr>
          <w:rFonts w:ascii="Arial" w:hAnsi="Arial"/>
          <w:b/>
          <w:color w:val="111111"/>
          <w:sz w:val="21"/>
        </w:rPr>
        <w:t xml:space="preserve">Next review date: </w:t>
      </w:r>
      <w:r>
        <w:rPr>
          <w:rFonts w:ascii="Arial" w:hAnsi="Arial"/>
          <w:i/>
          <w:color w:val="555555"/>
          <w:sz w:val="21"/>
        </w:rPr>
        <w:t>[Next review date]</w:t>
      </w:r>
    </w:p>
    <w:p>
      <w:pPr>
        <w:pBdr>
          <w:bottom w:val="single" w:sz="6" w:space="1" w:color="CCCCCC"/>
        </w:pBdr>
      </w:pPr>
    </w:p>
    <w:p>
      <w:pPr>
        <w:pStyle w:val="Heading1"/>
      </w:pPr>
      <w:r>
        <w:rPr>
          <w:rFonts w:ascii="Arial" w:hAnsi="Arial"/>
          <w:b/>
          <w:color w:val="DB2777"/>
          <w:sz w:val="30"/>
        </w:rPr>
        <w:t>1. Legal Prohibitions — EU AI Act Prohibited Practices</w:t>
      </w:r>
    </w:p>
    <w:p>
      <w:pPr>
        <w:spacing w:after="120"/>
      </w:pPr>
      <w:r>
        <w:rPr>
          <w:rFonts w:ascii="Arial" w:hAnsi="Arial"/>
          <w:b w:val="0"/>
          <w:i w:val="0"/>
          <w:color w:val="111111"/>
          <w:sz w:val="21"/>
        </w:rPr>
        <w:t>The EU AI Act's prohibited AI practices (in force since February 2025) apply regardless of internal policy. For each practice below, confirm whether it is relevant to your industry and note any current tools or planned projects that may touch this area.</w:t>
      </w:r>
    </w:p>
    <w:p>
      <w:pPr>
        <w:spacing w:after="20"/>
      </w:pPr>
      <w:r>
        <w:rPr>
          <w:rFonts w:ascii="Arial" w:hAnsi="Arial"/>
          <w:b/>
          <w:i w:val="0"/>
          <w:color w:val="111111"/>
          <w:sz w:val="21"/>
        </w:rPr>
        <w:t>Subliminal manipulation</w:t>
      </w:r>
    </w:p>
    <w:p>
      <w:pPr>
        <w:spacing w:after="40"/>
      </w:pPr>
      <w:r>
        <w:rPr>
          <w:rFonts w:ascii="Arial" w:hAnsi="Arial"/>
          <w:b w:val="0"/>
          <w:i w:val="0"/>
          <w:color w:val="555555"/>
          <w:sz w:val="20"/>
        </w:rPr>
        <w:t>AI that exploits unconscious psychological vulnerabilities to influence decisions without the person's awareness.</w:t>
      </w:r>
    </w:p>
    <w:p>
      <w:pPr>
        <w:spacing w:after="80"/>
      </w:pPr>
      <w:r>
        <w:rPr>
          <w:rFonts w:ascii="Arial" w:hAnsi="Arial"/>
          <w:b/>
          <w:color w:val="111111"/>
          <w:sz w:val="21"/>
        </w:rPr>
        <w:t xml:space="preserve">Relevance to our organisation / current or planned tools: </w:t>
      </w:r>
      <w:r>
        <w:rPr>
          <w:rFonts w:ascii="Arial" w:hAnsi="Arial"/>
          <w:i/>
          <w:color w:val="555555"/>
          <w:sz w:val="21"/>
        </w:rPr>
        <w:t>[Relevance to our organisation / current or planned tools]</w:t>
      </w:r>
    </w:p>
    <w:p/>
    <w:p>
      <w:pPr>
        <w:spacing w:after="20"/>
      </w:pPr>
      <w:r>
        <w:rPr>
          <w:rFonts w:ascii="Arial" w:hAnsi="Arial"/>
          <w:b/>
          <w:i w:val="0"/>
          <w:color w:val="111111"/>
          <w:sz w:val="21"/>
        </w:rPr>
        <w:t>Exploitation of vulnerable groups</w:t>
      </w:r>
    </w:p>
    <w:p>
      <w:pPr>
        <w:spacing w:after="40"/>
      </w:pPr>
      <w:r>
        <w:rPr>
          <w:rFonts w:ascii="Arial" w:hAnsi="Arial"/>
          <w:b w:val="0"/>
          <w:i w:val="0"/>
          <w:color w:val="555555"/>
          <w:sz w:val="20"/>
        </w:rPr>
        <w:t>AI targeting children, elderly, or disabled persons in ways that impair rational decision-making.</w:t>
      </w:r>
    </w:p>
    <w:p>
      <w:pPr>
        <w:spacing w:after="80"/>
      </w:pPr>
      <w:r>
        <w:rPr>
          <w:rFonts w:ascii="Arial" w:hAnsi="Arial"/>
          <w:b/>
          <w:color w:val="111111"/>
          <w:sz w:val="21"/>
        </w:rPr>
        <w:t xml:space="preserve">Relevance to our organisation / current or planned tools: </w:t>
      </w:r>
      <w:r>
        <w:rPr>
          <w:rFonts w:ascii="Arial" w:hAnsi="Arial"/>
          <w:i/>
          <w:color w:val="555555"/>
          <w:sz w:val="21"/>
        </w:rPr>
        <w:t>[Relevance to our organisation / current or planned tools]</w:t>
      </w:r>
    </w:p>
    <w:p/>
    <w:p>
      <w:pPr>
        <w:spacing w:after="20"/>
      </w:pPr>
      <w:r>
        <w:rPr>
          <w:rFonts w:ascii="Arial" w:hAnsi="Arial"/>
          <w:b/>
          <w:i w:val="0"/>
          <w:color w:val="111111"/>
          <w:sz w:val="21"/>
        </w:rPr>
        <w:t>Social scoring by public authorities</w:t>
      </w:r>
    </w:p>
    <w:p>
      <w:pPr>
        <w:spacing w:after="40"/>
      </w:pPr>
      <w:r>
        <w:rPr>
          <w:rFonts w:ascii="Arial" w:hAnsi="Arial"/>
          <w:b w:val="0"/>
          <w:i w:val="0"/>
          <w:color w:val="555555"/>
          <w:sz w:val="20"/>
        </w:rPr>
        <w:t>Government use of AI to rate citizens' trustworthiness across contexts.</w:t>
      </w:r>
    </w:p>
    <w:p>
      <w:pPr>
        <w:spacing w:after="80"/>
      </w:pPr>
      <w:r>
        <w:rPr>
          <w:rFonts w:ascii="Arial" w:hAnsi="Arial"/>
          <w:b/>
          <w:color w:val="111111"/>
          <w:sz w:val="21"/>
        </w:rPr>
        <w:t xml:space="preserve">Relevance to our organisation / current or planned tools: </w:t>
      </w:r>
      <w:r>
        <w:rPr>
          <w:rFonts w:ascii="Arial" w:hAnsi="Arial"/>
          <w:i/>
          <w:color w:val="555555"/>
          <w:sz w:val="21"/>
        </w:rPr>
        <w:t>[Relevance to our organisation / current or planned tools]</w:t>
      </w:r>
    </w:p>
    <w:p/>
    <w:p>
      <w:pPr>
        <w:spacing w:after="20"/>
      </w:pPr>
      <w:r>
        <w:rPr>
          <w:rFonts w:ascii="Arial" w:hAnsi="Arial"/>
          <w:b/>
          <w:i w:val="0"/>
          <w:color w:val="111111"/>
          <w:sz w:val="21"/>
        </w:rPr>
        <w:t>Real-time remote biometric identification in public spaces</w:t>
      </w:r>
    </w:p>
    <w:p>
      <w:pPr>
        <w:spacing w:after="40"/>
      </w:pPr>
      <w:r>
        <w:rPr>
          <w:rFonts w:ascii="Arial" w:hAnsi="Arial"/>
          <w:b w:val="0"/>
          <w:i w:val="0"/>
          <w:color w:val="555555"/>
          <w:sz w:val="20"/>
        </w:rPr>
        <w:t>By law enforcement, with narrow exceptions.</w:t>
      </w:r>
    </w:p>
    <w:p>
      <w:pPr>
        <w:spacing w:after="80"/>
      </w:pPr>
      <w:r>
        <w:rPr>
          <w:rFonts w:ascii="Arial" w:hAnsi="Arial"/>
          <w:b/>
          <w:color w:val="111111"/>
          <w:sz w:val="21"/>
        </w:rPr>
        <w:t xml:space="preserve">Relevance to our organisation / current or planned tools: </w:t>
      </w:r>
      <w:r>
        <w:rPr>
          <w:rFonts w:ascii="Arial" w:hAnsi="Arial"/>
          <w:i/>
          <w:color w:val="555555"/>
          <w:sz w:val="21"/>
        </w:rPr>
        <w:t>[Relevance to our organisation / current or planned tools]</w:t>
      </w:r>
    </w:p>
    <w:p/>
    <w:p>
      <w:pPr>
        <w:spacing w:after="20"/>
      </w:pPr>
      <w:r>
        <w:rPr>
          <w:rFonts w:ascii="Arial" w:hAnsi="Arial"/>
          <w:b/>
          <w:i w:val="0"/>
          <w:color w:val="111111"/>
          <w:sz w:val="21"/>
        </w:rPr>
        <w:t>Emotion recognition in workplace and educational settings</w:t>
      </w:r>
    </w:p>
    <w:p>
      <w:pPr>
        <w:spacing w:after="40"/>
      </w:pPr>
      <w:r>
        <w:rPr>
          <w:rFonts w:ascii="Arial" w:hAnsi="Arial"/>
          <w:b w:val="0"/>
          <w:i w:val="0"/>
          <w:color w:val="555555"/>
          <w:sz w:val="20"/>
        </w:rPr>
        <w:t>Inferring emotional states of employees or students using AI.</w:t>
      </w:r>
    </w:p>
    <w:p>
      <w:pPr>
        <w:spacing w:after="80"/>
      </w:pPr>
      <w:r>
        <w:rPr>
          <w:rFonts w:ascii="Arial" w:hAnsi="Arial"/>
          <w:b/>
          <w:color w:val="111111"/>
          <w:sz w:val="21"/>
        </w:rPr>
        <w:t xml:space="preserve">Relevance to our organisation / current or planned tools: </w:t>
      </w:r>
      <w:r>
        <w:rPr>
          <w:rFonts w:ascii="Arial" w:hAnsi="Arial"/>
          <w:i/>
          <w:color w:val="555555"/>
          <w:sz w:val="21"/>
        </w:rPr>
        <w:t>[Relevance to our organisation / current or planned tools]</w:t>
      </w:r>
    </w:p>
    <w:p/>
    <w:p>
      <w:pPr>
        <w:spacing w:after="20"/>
      </w:pPr>
      <w:r>
        <w:rPr>
          <w:rFonts w:ascii="Arial" w:hAnsi="Arial"/>
          <w:b/>
          <w:i w:val="0"/>
          <w:color w:val="111111"/>
          <w:sz w:val="21"/>
        </w:rPr>
        <w:t>Biometric categorisation to infer sensitive characteristics</w:t>
      </w:r>
    </w:p>
    <w:p>
      <w:pPr>
        <w:spacing w:after="40"/>
      </w:pPr>
      <w:r>
        <w:rPr>
          <w:rFonts w:ascii="Arial" w:hAnsi="Arial"/>
          <w:b w:val="0"/>
          <w:i w:val="0"/>
          <w:color w:val="555555"/>
          <w:sz w:val="20"/>
        </w:rPr>
        <w:t>Political views, sexual orientation, race, or religion inferred from biometric data.</w:t>
      </w:r>
    </w:p>
    <w:p>
      <w:pPr>
        <w:spacing w:after="80"/>
      </w:pPr>
      <w:r>
        <w:rPr>
          <w:rFonts w:ascii="Arial" w:hAnsi="Arial"/>
          <w:b/>
          <w:color w:val="111111"/>
          <w:sz w:val="21"/>
        </w:rPr>
        <w:t xml:space="preserve">Relevance to our organisation / current or planned tools: </w:t>
      </w:r>
      <w:r>
        <w:rPr>
          <w:rFonts w:ascii="Arial" w:hAnsi="Arial"/>
          <w:i/>
          <w:color w:val="555555"/>
          <w:sz w:val="21"/>
        </w:rPr>
        <w:t>[Relevance to our organisation / current or planned tools]</w:t>
      </w:r>
    </w:p>
    <w:p/>
    <w:p>
      <w:pPr>
        <w:pBdr>
          <w:bottom w:val="single" w:sz="6" w:space="1" w:color="CCCCCC"/>
        </w:pBdr>
      </w:pPr>
    </w:p>
    <w:p>
      <w:pPr>
        <w:pStyle w:val="Heading1"/>
      </w:pPr>
      <w:r>
        <w:rPr>
          <w:rFonts w:ascii="Arial" w:hAnsi="Arial"/>
          <w:b/>
          <w:color w:val="DB2777"/>
          <w:sz w:val="30"/>
        </w:rPr>
        <w:t>2. Organisational Red Lines</w:t>
      </w:r>
    </w:p>
    <w:p>
      <w:pPr>
        <w:spacing w:after="120"/>
      </w:pPr>
      <w:r>
        <w:rPr>
          <w:rFonts w:ascii="Arial" w:hAnsi="Arial"/>
          <w:b w:val="0"/>
          <w:i w:val="0"/>
          <w:color w:val="111111"/>
          <w:sz w:val="21"/>
        </w:rPr>
        <w:t>Beyond legal requirements, [COMPANY NAME] has identified the following AI applications it will not deploy — based on brand alignment, stakeholder trust, and long-term regulatory risk. Aim for 3-5 specific categories.</w:t>
      </w:r>
    </w:p>
    <w:p>
      <w:pPr>
        <w:spacing w:after="20"/>
      </w:pPr>
      <w:r>
        <w:rPr>
          <w:rFonts w:ascii="Arial" w:hAnsi="Arial"/>
          <w:b/>
          <w:i w:val="0"/>
          <w:color w:val="111111"/>
          <w:sz w:val="21"/>
        </w:rPr>
        <w:t>Red Line 1</w:t>
      </w:r>
    </w:p>
    <w:p>
      <w:pPr>
        <w:spacing w:after="80"/>
      </w:pPr>
      <w:r>
        <w:rPr>
          <w:rFonts w:ascii="Arial" w:hAnsi="Arial"/>
          <w:b/>
          <w:color w:val="111111"/>
          <w:sz w:val="21"/>
        </w:rPr>
        <w:t xml:space="preserve">Description: </w:t>
      </w:r>
      <w:r>
        <w:rPr>
          <w:rFonts w:ascii="Arial" w:hAnsi="Arial"/>
          <w:i/>
          <w:color w:val="555555"/>
          <w:sz w:val="21"/>
        </w:rPr>
        <w:t>[Description]</w:t>
      </w:r>
    </w:p>
    <w:p>
      <w:pPr>
        <w:spacing w:after="80"/>
      </w:pPr>
      <w:r>
        <w:rPr>
          <w:rFonts w:ascii="Arial" w:hAnsi="Arial"/>
          <w:b/>
          <w:color w:val="111111"/>
          <w:sz w:val="21"/>
        </w:rPr>
        <w:t xml:space="preserve">Rationale (why this crosses our threshold): </w:t>
      </w:r>
      <w:r>
        <w:rPr>
          <w:rFonts w:ascii="Arial" w:hAnsi="Arial"/>
          <w:i/>
          <w:color w:val="555555"/>
          <w:sz w:val="21"/>
        </w:rPr>
        <w:t>[Rationale (why this crosses our threshold)]</w:t>
      </w:r>
    </w:p>
    <w:p/>
    <w:p>
      <w:pPr>
        <w:spacing w:after="20"/>
      </w:pPr>
      <w:r>
        <w:rPr>
          <w:rFonts w:ascii="Arial" w:hAnsi="Arial"/>
          <w:b/>
          <w:i w:val="0"/>
          <w:color w:val="111111"/>
          <w:sz w:val="21"/>
        </w:rPr>
        <w:t>Red Line 2</w:t>
      </w:r>
    </w:p>
    <w:p>
      <w:pPr>
        <w:spacing w:after="80"/>
      </w:pPr>
      <w:r>
        <w:rPr>
          <w:rFonts w:ascii="Arial" w:hAnsi="Arial"/>
          <w:b/>
          <w:color w:val="111111"/>
          <w:sz w:val="21"/>
        </w:rPr>
        <w:t xml:space="preserve">Description: </w:t>
      </w:r>
      <w:r>
        <w:rPr>
          <w:rFonts w:ascii="Arial" w:hAnsi="Arial"/>
          <w:i/>
          <w:color w:val="555555"/>
          <w:sz w:val="21"/>
        </w:rPr>
        <w:t>[Description]</w:t>
      </w:r>
    </w:p>
    <w:p>
      <w:pPr>
        <w:spacing w:after="80"/>
      </w:pPr>
      <w:r>
        <w:rPr>
          <w:rFonts w:ascii="Arial" w:hAnsi="Arial"/>
          <w:b/>
          <w:color w:val="111111"/>
          <w:sz w:val="21"/>
        </w:rPr>
        <w:t xml:space="preserve">Rationale (why this crosses our threshold): </w:t>
      </w:r>
      <w:r>
        <w:rPr>
          <w:rFonts w:ascii="Arial" w:hAnsi="Arial"/>
          <w:i/>
          <w:color w:val="555555"/>
          <w:sz w:val="21"/>
        </w:rPr>
        <w:t>[Rationale (why this crosses our threshold)]</w:t>
      </w:r>
    </w:p>
    <w:p/>
    <w:p>
      <w:pPr>
        <w:spacing w:after="20"/>
      </w:pPr>
      <w:r>
        <w:rPr>
          <w:rFonts w:ascii="Arial" w:hAnsi="Arial"/>
          <w:b/>
          <w:i w:val="0"/>
          <w:color w:val="111111"/>
          <w:sz w:val="21"/>
        </w:rPr>
        <w:t>Red Line 3</w:t>
      </w:r>
    </w:p>
    <w:p>
      <w:pPr>
        <w:spacing w:after="80"/>
      </w:pPr>
      <w:r>
        <w:rPr>
          <w:rFonts w:ascii="Arial" w:hAnsi="Arial"/>
          <w:b/>
          <w:color w:val="111111"/>
          <w:sz w:val="21"/>
        </w:rPr>
        <w:t xml:space="preserve">Description: </w:t>
      </w:r>
      <w:r>
        <w:rPr>
          <w:rFonts w:ascii="Arial" w:hAnsi="Arial"/>
          <w:i/>
          <w:color w:val="555555"/>
          <w:sz w:val="21"/>
        </w:rPr>
        <w:t>[Description]</w:t>
      </w:r>
    </w:p>
    <w:p>
      <w:pPr>
        <w:spacing w:after="80"/>
      </w:pPr>
      <w:r>
        <w:rPr>
          <w:rFonts w:ascii="Arial" w:hAnsi="Arial"/>
          <w:b/>
          <w:color w:val="111111"/>
          <w:sz w:val="21"/>
        </w:rPr>
        <w:t xml:space="preserve">Rationale (why this crosses our threshold): </w:t>
      </w:r>
      <w:r>
        <w:rPr>
          <w:rFonts w:ascii="Arial" w:hAnsi="Arial"/>
          <w:i/>
          <w:color w:val="555555"/>
          <w:sz w:val="21"/>
        </w:rPr>
        <w:t>[Rationale (why this crosses our threshold)]</w:t>
      </w:r>
    </w:p>
    <w:p/>
    <w:p>
      <w:pPr>
        <w:spacing w:after="20"/>
      </w:pPr>
      <w:r>
        <w:rPr>
          <w:rFonts w:ascii="Arial" w:hAnsi="Arial"/>
          <w:b/>
          <w:i w:val="0"/>
          <w:color w:val="111111"/>
          <w:sz w:val="21"/>
        </w:rPr>
        <w:t>Red Line 4</w:t>
      </w:r>
    </w:p>
    <w:p>
      <w:pPr>
        <w:spacing w:after="80"/>
      </w:pPr>
      <w:r>
        <w:rPr>
          <w:rFonts w:ascii="Arial" w:hAnsi="Arial"/>
          <w:b/>
          <w:color w:val="111111"/>
          <w:sz w:val="21"/>
        </w:rPr>
        <w:t xml:space="preserve">Description: </w:t>
      </w:r>
      <w:r>
        <w:rPr>
          <w:rFonts w:ascii="Arial" w:hAnsi="Arial"/>
          <w:i/>
          <w:color w:val="555555"/>
          <w:sz w:val="21"/>
        </w:rPr>
        <w:t>[Description]</w:t>
      </w:r>
    </w:p>
    <w:p>
      <w:pPr>
        <w:spacing w:after="80"/>
      </w:pPr>
      <w:r>
        <w:rPr>
          <w:rFonts w:ascii="Arial" w:hAnsi="Arial"/>
          <w:b/>
          <w:color w:val="111111"/>
          <w:sz w:val="21"/>
        </w:rPr>
        <w:t xml:space="preserve">Rationale (why this crosses our threshold): </w:t>
      </w:r>
      <w:r>
        <w:rPr>
          <w:rFonts w:ascii="Arial" w:hAnsi="Arial"/>
          <w:i/>
          <w:color w:val="555555"/>
          <w:sz w:val="21"/>
        </w:rPr>
        <w:t>[Rationale (why this crosses our threshold)]</w:t>
      </w:r>
    </w:p>
    <w:p/>
    <w:p>
      <w:pPr>
        <w:spacing w:after="20"/>
      </w:pPr>
      <w:r>
        <w:rPr>
          <w:rFonts w:ascii="Arial" w:hAnsi="Arial"/>
          <w:b/>
          <w:i w:val="0"/>
          <w:color w:val="111111"/>
          <w:sz w:val="21"/>
        </w:rPr>
        <w:t>Red Line 5</w:t>
      </w:r>
    </w:p>
    <w:p>
      <w:pPr>
        <w:spacing w:after="80"/>
      </w:pPr>
      <w:r>
        <w:rPr>
          <w:rFonts w:ascii="Arial" w:hAnsi="Arial"/>
          <w:b/>
          <w:color w:val="111111"/>
          <w:sz w:val="21"/>
        </w:rPr>
        <w:t xml:space="preserve">Description: </w:t>
      </w:r>
      <w:r>
        <w:rPr>
          <w:rFonts w:ascii="Arial" w:hAnsi="Arial"/>
          <w:i/>
          <w:color w:val="555555"/>
          <w:sz w:val="21"/>
        </w:rPr>
        <w:t>[Description]</w:t>
      </w:r>
    </w:p>
    <w:p>
      <w:pPr>
        <w:spacing w:after="80"/>
      </w:pPr>
      <w:r>
        <w:rPr>
          <w:rFonts w:ascii="Arial" w:hAnsi="Arial"/>
          <w:b/>
          <w:color w:val="111111"/>
          <w:sz w:val="21"/>
        </w:rPr>
        <w:t xml:space="preserve">Rationale (why this crosses our threshold): </w:t>
      </w:r>
      <w:r>
        <w:rPr>
          <w:rFonts w:ascii="Arial" w:hAnsi="Arial"/>
          <w:i/>
          <w:color w:val="555555"/>
          <w:sz w:val="21"/>
        </w:rPr>
        <w:t>[Rationale (why this crosses our threshold)]</w:t>
      </w:r>
    </w:p>
    <w:p/>
    <w:p>
      <w:pPr>
        <w:pBdr>
          <w:bottom w:val="single" w:sz="6" w:space="1" w:color="CCCCCC"/>
        </w:pBdr>
      </w:pPr>
    </w:p>
    <w:p>
      <w:pPr>
        <w:pStyle w:val="Heading1"/>
      </w:pPr>
      <w:r>
        <w:rPr>
          <w:rFonts w:ascii="Arial" w:hAnsi="Arial"/>
          <w:b/>
          <w:color w:val="DB2777"/>
          <w:sz w:val="30"/>
        </w:rPr>
        <w:t>3. Rationale — Why We Draw These Lines</w:t>
      </w:r>
    </w:p>
    <w:p>
      <w:pPr>
        <w:spacing w:after="120"/>
      </w:pPr>
      <w:r>
        <w:rPr>
          <w:rFonts w:ascii="Arial" w:hAnsi="Arial"/>
          <w:b w:val="0"/>
          <w:i w:val="0"/>
          <w:color w:val="111111"/>
          <w:sz w:val="21"/>
        </w:rPr>
        <w:t>For each organisational red line above, document 1-2 sentences of rationale. This is the audit trail that demonstrates ethical deliberation and protects the organisation if challenged. Consider these three factors when drafting rationale:</w:t>
      </w:r>
    </w:p>
    <w:p>
      <w:pPr>
        <w:pStyle w:val="ListBullet"/>
      </w:pPr>
      <w:r>
        <w:rPr>
          <w:rFonts w:ascii="Arial" w:hAnsi="Arial"/>
          <w:color w:val="111111"/>
          <w:sz w:val="21"/>
        </w:rPr>
        <w:t>Brand alignment — would deploying this AI be inconsistent with how we present ourselves to customers, employees, or the public?</w:t>
      </w:r>
    </w:p>
    <w:p>
      <w:pPr>
        <w:pStyle w:val="ListBullet"/>
      </w:pPr>
      <w:r>
        <w:rPr>
          <w:rFonts w:ascii="Arial" w:hAnsi="Arial"/>
          <w:color w:val="111111"/>
          <w:sz w:val="21"/>
        </w:rPr>
        <w:t>Stakeholder trust — would our customers, employees, or partners object if they knew we were using this AI? Could we defend this publicly?</w:t>
      </w:r>
    </w:p>
    <w:p>
      <w:pPr>
        <w:pStyle w:val="ListBullet"/>
      </w:pPr>
      <w:r>
        <w:rPr>
          <w:rFonts w:ascii="Arial" w:hAnsi="Arial"/>
          <w:color w:val="111111"/>
          <w:sz w:val="21"/>
        </w:rPr>
        <w:t>Long-term risk — even if legal today, is this an area where regulation is tightening? Are we building systems we may have to unwind later?</w:t>
      </w:r>
    </w:p>
    <w:p>
      <w:pPr>
        <w:pBdr>
          <w:bottom w:val="single" w:sz="6" w:space="1" w:color="CCCCCC"/>
        </w:pBdr>
      </w:pPr>
    </w:p>
    <w:p>
      <w:pPr>
        <w:pStyle w:val="Heading1"/>
      </w:pPr>
      <w:r>
        <w:rPr>
          <w:rFonts w:ascii="Arial" w:hAnsi="Arial"/>
          <w:b/>
          <w:color w:val="DB2777"/>
          <w:sz w:val="30"/>
        </w:rPr>
        <w:t>4. Exception Process</w:t>
      </w:r>
    </w:p>
    <w:p>
      <w:pPr>
        <w:spacing w:after="120"/>
      </w:pPr>
      <w:r>
        <w:rPr>
          <w:rFonts w:ascii="Arial" w:hAnsi="Arial"/>
          <w:b w:val="0"/>
          <w:i w:val="0"/>
          <w:color w:val="111111"/>
          <w:sz w:val="21"/>
        </w:rPr>
        <w:t>What would need to happen for [COMPANY NAME] to reconsider a red line? Who has authority to grant an exception, and what review must be completed first?</w:t>
      </w:r>
    </w:p>
    <w:p>
      <w:pPr>
        <w:spacing w:after="80"/>
      </w:pPr>
      <w:r>
        <w:rPr>
          <w:rFonts w:ascii="Arial" w:hAnsi="Arial"/>
          <w:b/>
          <w:color w:val="111111"/>
          <w:sz w:val="21"/>
        </w:rPr>
        <w:t xml:space="preserve">Exception request submitted to: </w:t>
      </w:r>
      <w:r>
        <w:rPr>
          <w:rFonts w:ascii="Arial" w:hAnsi="Arial"/>
          <w:i/>
          <w:color w:val="555555"/>
          <w:sz w:val="21"/>
        </w:rPr>
        <w:t>[Exception request submitted to]</w:t>
      </w:r>
    </w:p>
    <w:p>
      <w:pPr>
        <w:spacing w:after="80"/>
      </w:pPr>
      <w:r>
        <w:rPr>
          <w:rFonts w:ascii="Arial" w:hAnsi="Arial"/>
          <w:b/>
          <w:color w:val="111111"/>
          <w:sz w:val="21"/>
        </w:rPr>
        <w:t xml:space="preserve">Required review before exception is considered: </w:t>
      </w:r>
      <w:r>
        <w:rPr>
          <w:rFonts w:ascii="Arial" w:hAnsi="Arial"/>
          <w:i/>
          <w:color w:val="555555"/>
          <w:sz w:val="21"/>
        </w:rPr>
        <w:t>[Required review before exception is considered]</w:t>
      </w:r>
    </w:p>
    <w:p>
      <w:pPr>
        <w:spacing w:after="80"/>
      </w:pPr>
      <w:r>
        <w:rPr>
          <w:rFonts w:ascii="Arial" w:hAnsi="Arial"/>
          <w:b/>
          <w:color w:val="111111"/>
          <w:sz w:val="21"/>
        </w:rPr>
        <w:t xml:space="preserve">Authority to grant exception: </w:t>
      </w:r>
      <w:r>
        <w:rPr>
          <w:rFonts w:ascii="Arial" w:hAnsi="Arial"/>
          <w:i/>
          <w:color w:val="555555"/>
          <w:sz w:val="21"/>
        </w:rPr>
        <w:t>[Authority to grant exception]</w:t>
      </w:r>
    </w:p>
    <w:p>
      <w:pPr>
        <w:spacing w:after="80"/>
      </w:pPr>
      <w:r>
        <w:rPr>
          <w:rFonts w:ascii="Arial" w:hAnsi="Arial"/>
          <w:b/>
          <w:color w:val="111111"/>
          <w:sz w:val="21"/>
        </w:rPr>
        <w:t xml:space="preserve">Documentation required if exception is granted: </w:t>
      </w:r>
      <w:r>
        <w:rPr>
          <w:rFonts w:ascii="Arial" w:hAnsi="Arial"/>
          <w:i/>
          <w:color w:val="555555"/>
          <w:sz w:val="21"/>
        </w:rPr>
        <w:t>[Documentation required if exception is granted]</w:t>
      </w:r>
    </w:p>
    <w:p>
      <w:pPr>
        <w:pBdr>
          <w:bottom w:val="single" w:sz="6" w:space="1" w:color="CCCCCC"/>
        </w:pBdr>
      </w:pPr>
    </w:p>
    <w:p>
      <w:pPr>
        <w:pStyle w:val="Heading1"/>
      </w:pPr>
      <w:r>
        <w:rPr>
          <w:rFonts w:ascii="Arial" w:hAnsi="Arial"/>
          <w:b/>
          <w:color w:val="DB2777"/>
          <w:sz w:val="30"/>
        </w:rPr>
        <w:t>5. Ownership &amp; Review Cadence</w:t>
      </w:r>
    </w:p>
    <w:p>
      <w:pPr>
        <w:spacing w:after="120"/>
      </w:pPr>
      <w:r>
        <w:rPr>
          <w:rFonts w:ascii="Arial" w:hAnsi="Arial"/>
          <w:b w:val="0"/>
          <w:i w:val="0"/>
          <w:color w:val="111111"/>
          <w:sz w:val="21"/>
        </w:rPr>
        <w:t>This policy sits with [COMPANY NAME]'s AI governance committee or equivalent. It should be reviewed on a defined cadence and whenever relevant regulation changes.</w:t>
      </w:r>
    </w:p>
    <w:p>
      <w:pPr>
        <w:spacing w:after="80"/>
      </w:pPr>
      <w:r>
        <w:rPr>
          <w:rFonts w:ascii="Arial" w:hAnsi="Arial"/>
          <w:b/>
          <w:color w:val="111111"/>
          <w:sz w:val="21"/>
        </w:rPr>
        <w:t xml:space="preserve">Policy owner (role/title): </w:t>
      </w:r>
      <w:r>
        <w:rPr>
          <w:rFonts w:ascii="Arial" w:hAnsi="Arial"/>
          <w:i/>
          <w:color w:val="555555"/>
          <w:sz w:val="21"/>
        </w:rPr>
        <w:t>[Policy owner (role/title)]</w:t>
      </w:r>
    </w:p>
    <w:p>
      <w:pPr>
        <w:spacing w:after="80"/>
      </w:pPr>
      <w:r>
        <w:rPr>
          <w:rFonts w:ascii="Arial" w:hAnsi="Arial"/>
          <w:b/>
          <w:color w:val="111111"/>
          <w:sz w:val="21"/>
        </w:rPr>
        <w:t xml:space="preserve">Approving body: </w:t>
      </w:r>
      <w:r>
        <w:rPr>
          <w:rFonts w:ascii="Arial" w:hAnsi="Arial"/>
          <w:i/>
          <w:color w:val="555555"/>
          <w:sz w:val="21"/>
        </w:rPr>
        <w:t>[Approving body]</w:t>
      </w:r>
    </w:p>
    <w:p>
      <w:pPr>
        <w:spacing w:after="80"/>
      </w:pPr>
      <w:r>
        <w:rPr>
          <w:rFonts w:ascii="Arial" w:hAnsi="Arial"/>
          <w:b/>
          <w:color w:val="111111"/>
          <w:sz w:val="21"/>
        </w:rPr>
        <w:t xml:space="preserve">Review cadence (e.g. annually, or on regulatory change): </w:t>
      </w:r>
      <w:r>
        <w:rPr>
          <w:rFonts w:ascii="Arial" w:hAnsi="Arial"/>
          <w:i/>
          <w:color w:val="555555"/>
          <w:sz w:val="21"/>
        </w:rPr>
        <w:t>[Review cadence (e.g. annually, or on regulatory change)]</w:t>
      </w:r>
    </w:p>
    <w:p>
      <w:pPr>
        <w:spacing w:after="80"/>
      </w:pPr>
      <w:r>
        <w:rPr>
          <w:rFonts w:ascii="Arial" w:hAnsi="Arial"/>
          <w:b/>
          <w:color w:val="111111"/>
          <w:sz w:val="21"/>
        </w:rPr>
        <w:t xml:space="preserve">Last reviewed: </w:t>
      </w:r>
      <w:r>
        <w:rPr>
          <w:rFonts w:ascii="Arial" w:hAnsi="Arial"/>
          <w:i/>
          <w:color w:val="555555"/>
          <w:sz w:val="21"/>
        </w:rPr>
        <w:t>[Last reviewed]</w:t>
      </w:r>
    </w:p>
    <w:p>
      <w:pPr>
        <w:spacing w:after="80"/>
      </w:pPr>
      <w:r>
        <w:rPr>
          <w:rFonts w:ascii="Arial" w:hAnsi="Arial"/>
          <w:b/>
          <w:color w:val="111111"/>
          <w:sz w:val="21"/>
        </w:rPr>
        <w:t xml:space="preserve">Next scheduled review: </w:t>
      </w:r>
      <w:r>
        <w:rPr>
          <w:rFonts w:ascii="Arial" w:hAnsi="Arial"/>
          <w:i/>
          <w:color w:val="555555"/>
          <w:sz w:val="21"/>
        </w:rPr>
        <w:t>[Next scheduled review]</w:t>
      </w:r>
    </w:p>
    <w:p>
      <w:pPr>
        <w:spacing w:after="120"/>
      </w:pPr>
      <w:r>
        <w:rPr>
          <w:rFonts w:ascii="Arial" w:hAnsi="Arial"/>
          <w:b w:val="0"/>
          <w:i/>
          <w:color w:val="555555"/>
          <w:sz w:val="21"/>
        </w:rPr>
        <w:t>Every organisation deploying AI needs two lists: what the law prohibits, and what we prohibit for ourselves. The first is determined by regulators. The second is determined by us. Both must be documented, approved at board level, and communicated across the business.</w:t>
      </w:r>
    </w:p>
    <w:sectPr w:rsidR="00FC693F" w:rsidRPr="0006063C" w:rsidSect="00034616">
      <w:headerReference w:type="default" r:id="rId9"/>
      <w:footerReference w:type="default" r:id="rId10"/>
      <w:pgSz w:w="12240" w:h="15840"/>
      <w:pgMar w:top="1020" w:right="1247" w:bottom="1020"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411" w:val="right"/>
      </w:tabs>
      <w:jc w:val="left"/>
    </w:pPr>
    <w:r/>
    <w:r>
      <w:rPr>
        <w:rFonts w:ascii="Arial" w:hAnsi="Arial"/>
        <w:color w:val="555555"/>
        <w:sz w:val="16"/>
      </w:rPr>
      <w:t>u4riaai.com — U4RIA Academy</w:t>
    </w:r>
    <w:r>
      <w:rPr>
        <w:sz w:val="16"/>
      </w:rPr>
      <w:tab/>
    </w:r>
    <w:r>
      <w:rPr>
        <w:rFonts w:ascii="Arial" w:hAnsi="Arial"/>
        <w:color w:val="555555"/>
        <w:sz w:val="16"/>
      </w:rPr>
      <w:t xml:space="preserve">Page </w:t>
    </w:r>
    <w:r>
      <w:fldChar w:fldCharType="begin"/>
      <w:instrText xml:space="preserve">PAGE</w:instrText>
      <w:fldChar w:fldCharType="end"/>
    </w:r>
    <w:r>
      <w:rPr>
        <w:rFonts w:ascii="Arial" w:hAnsi="Arial"/>
        <w:color w:val="555555"/>
        <w:sz w:val="16"/>
      </w:rPr>
      <w:t xml:space="preserve"> of </w:t>
    </w:r>
    <w:r>
      <w:fldChar w:fldCharType="begin"/>
      <w:instrText xml:space="preserve">NUMPAGES</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411" w:val="right"/>
      </w:tabs>
      <w:jc w:val="left"/>
      <w:pBdr>
        <w:bottom w:val="single" w:sz="6" w:space="4" w:color="DB2777"/>
      </w:pBdr>
    </w:pPr>
    <w:r/>
    <w:r>
      <w:rPr>
        <w:rFonts w:ascii="Arial" w:hAnsi="Arial"/>
        <w:b/>
        <w:caps/>
        <w:color w:val="DB2777"/>
        <w:sz w:val="18"/>
      </w:rPr>
      <w:t>U4RIA ACADEMY</w:t>
    </w:r>
    <w:r>
      <w:rPr>
        <w:rFonts w:ascii="Arial" w:hAnsi="Arial"/>
        <w:color w:val="555555"/>
        <w:sz w:val="18"/>
      </w:rPr>
      <w:tab/>
      <w:t>AI Prohibition Policy — Template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olor w:val="111111"/>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DB2777"/>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DB2777"/>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DB2777"/>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