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111111"/>
          <w:sz w:val="44"/>
        </w:rPr>
        <w:t>AI Incident Response Runbook</w:t>
      </w:r>
    </w:p>
    <w:p>
      <w:r>
        <w:rPr>
          <w:rFonts w:ascii="Arial" w:hAnsi="Arial"/>
          <w:i/>
          <w:color w:val="555555"/>
          <w:sz w:val="22"/>
        </w:rPr>
        <w:t>Template — complete bracketed fields with your organisation's contacts and thresholds</w:t>
      </w:r>
    </w:p>
    <w:p>
      <w:pPr>
        <w:spacing w:after="80"/>
        <w:pBdr>
          <w:bottom w:val="single" w:sz="18" w:space="1" w:color="DB2777"/>
        </w:pBdr>
      </w:pPr>
    </w:p>
    <w:p>
      <w:pPr>
        <w:spacing w:after="120"/>
      </w:pPr>
      <w:r>
        <w:rPr>
          <w:rFonts w:ascii="Arial" w:hAnsi="Arial"/>
          <w:b w:val="0"/>
          <w:i/>
          <w:color w:val="111111"/>
          <w:sz w:val="21"/>
        </w:rPr>
        <w:t>A runbook is a documented, step-by-step response procedure for a specific type of AI incident. Unlike a general policy, a runbook is operational — it tells the person responding exactly what to do, in what order, and who to involve.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Company name: </w:t>
      </w:r>
      <w:r>
        <w:rPr>
          <w:rFonts w:ascii="Arial" w:hAnsi="Arial"/>
          <w:i/>
          <w:color w:val="555555"/>
          <w:sz w:val="21"/>
        </w:rPr>
        <w:t>[Company name]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Runbook owner: </w:t>
      </w:r>
      <w:r>
        <w:rPr>
          <w:rFonts w:ascii="Arial" w:hAnsi="Arial"/>
          <w:i/>
          <w:color w:val="555555"/>
          <w:sz w:val="21"/>
        </w:rPr>
        <w:t>[Runbook 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Incident response team / escalation contact: </w:t>
      </w:r>
      <w:r>
        <w:rPr>
          <w:rFonts w:ascii="Arial" w:hAnsi="Arial"/>
          <w:i/>
          <w:color w:val="555555"/>
          <w:sz w:val="21"/>
        </w:rPr>
        <w:t>[Incident response team / escalation contact]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Last reviewed: </w:t>
      </w:r>
      <w:r>
        <w:rPr>
          <w:rFonts w:ascii="Arial" w:hAnsi="Arial"/>
          <w:i/>
          <w:color w:val="555555"/>
          <w:sz w:val="21"/>
        </w:rPr>
        <w:t>[Last reviewed]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Next scheduled review: </w:t>
      </w:r>
      <w:r>
        <w:rPr>
          <w:rFonts w:ascii="Arial" w:hAnsi="Arial"/>
          <w:i/>
          <w:color w:val="555555"/>
          <w:sz w:val="21"/>
        </w:rPr>
        <w:t>[Next scheduled review]</w:t>
      </w:r>
    </w:p>
    <w:p>
      <w:pPr>
        <w:pBdr>
          <w:bottom w:val="single" w:sz="6" w:space="1" w:color="CCCCCC"/>
        </w:pBdr>
      </w:pPr>
    </w:p>
    <w:p>
      <w:pPr>
        <w:pStyle w:val="Heading1"/>
      </w:pPr>
      <w:r>
        <w:rPr>
          <w:rFonts w:ascii="Arial" w:hAnsi="Arial"/>
          <w:b/>
          <w:color w:val="DB2777"/>
          <w:sz w:val="30"/>
        </w:rPr>
        <w:t>Incident Classification</w:t>
      </w:r>
    </w:p>
    <w:p>
      <w:pPr>
        <w:spacing w:after="120"/>
      </w:pPr>
      <w:r>
        <w:rPr>
          <w:rFonts w:ascii="Arial" w:hAnsi="Arial"/>
          <w:b w:val="0"/>
          <w:i w:val="0"/>
          <w:color w:val="111111"/>
          <w:sz w:val="21"/>
        </w:rPr>
        <w:t>Before mobilising a response, classify what you're dealing with: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Class A — Security Incident: Evidence of deliberate malicious activity — confirmed injection, active extraction attempt, poisoning detected. Full incident response activation.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Class B — Safety Event: Model producing harmful, biased, or incorrect outputs without evidence of attack. Model safety review required.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Class C — Quality Degradation: Model performance declining but no evidence of attack or safety issue. Engineering investigation required.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Class D — Environmental Change: Model behaving differently due to infrastructure changes, dependency updates, or data pipeline changes. Root cause analysis required.</w:t>
      </w:r>
    </w:p>
    <w:p>
      <w:pPr>
        <w:pBdr>
          <w:bottom w:val="single" w:sz="6" w:space="1" w:color="CCCCCC"/>
        </w:pBdr>
      </w:pPr>
    </w:p>
    <w:p>
      <w:pPr>
        <w:pStyle w:val="Heading1"/>
      </w:pPr>
      <w:r>
        <w:rPr>
          <w:rFonts w:ascii="Arial" w:hAnsi="Arial"/>
          <w:b/>
          <w:color w:val="DB2777"/>
          <w:sz w:val="30"/>
        </w:rPr>
        <w:t>The Six Response Phases</w:t>
      </w:r>
    </w:p>
    <w:p>
      <w:pPr>
        <w:spacing w:after="120"/>
      </w:pPr>
      <w:r>
        <w:rPr>
          <w:rFonts w:ascii="Arial" w:hAnsi="Arial"/>
          <w:b w:val="0"/>
          <w:i w:val="0"/>
          <w:color w:val="111111"/>
          <w:sz w:val="21"/>
        </w:rPr>
        <w:t>Every AI incident runbook follows this structure regardless of incident type.</w:t>
      </w:r>
    </w:p>
    <w:p>
      <w:pPr>
        <w:pStyle w:val="Heading2"/>
      </w:pPr>
      <w:r>
        <w:rPr>
          <w:rFonts w:ascii="Arial" w:hAnsi="Arial"/>
          <w:b/>
          <w:color w:val="DB2777"/>
          <w:sz w:val="25"/>
        </w:rPr>
        <w:t>Phase 1: Detection &amp; Initial Assessment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Who identifies the incident?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signals trigger this runbook?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is the initial classification (A/B/C/D)?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Style w:val="Heading2"/>
      </w:pPr>
      <w:r>
        <w:rPr>
          <w:rFonts w:ascii="Arial" w:hAnsi="Arial"/>
          <w:b/>
          <w:color w:val="DB2777"/>
          <w:sz w:val="25"/>
        </w:rPr>
        <w:t>Phase 2: Containment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can be done immediately to limit impact?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Can the affected model be taken offline?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Can API access be restricted?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Style w:val="Heading2"/>
      </w:pPr>
      <w:r>
        <w:rPr>
          <w:rFonts w:ascii="Arial" w:hAnsi="Arial"/>
          <w:b/>
          <w:color w:val="DB2777"/>
          <w:sz w:val="25"/>
        </w:rPr>
        <w:t>Phase 3: Investigation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evidence needs to be collected?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Who conducts the technical investigation?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is the chain of custody for evidence?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Style w:val="Heading2"/>
      </w:pPr>
      <w:r>
        <w:rPr>
          <w:rFonts w:ascii="Arial" w:hAnsi="Arial"/>
          <w:b/>
          <w:color w:val="DB2777"/>
          <w:sz w:val="25"/>
        </w:rPr>
        <w:t>Phase 4: Eradication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is the root cause?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How is it fully removed?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If the model is compromised, does it need retraining?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Style w:val="Heading2"/>
      </w:pPr>
      <w:r>
        <w:rPr>
          <w:rFonts w:ascii="Arial" w:hAnsi="Arial"/>
          <w:b/>
          <w:color w:val="DB2777"/>
          <w:sz w:val="25"/>
        </w:rPr>
        <w:t>Phase 5: Recovery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How is the system restored to operation?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validation is required before full deployment resumes?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Style w:val="Heading2"/>
      </w:pPr>
      <w:r>
        <w:rPr>
          <w:rFonts w:ascii="Arial" w:hAnsi="Arial"/>
          <w:b/>
          <w:color w:val="DB2777"/>
          <w:sz w:val="25"/>
        </w:rPr>
        <w:t>Phase 6: Post-Incident Review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happened, and what did we miss?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controls would have prevented or earlier detected this incident?</w:t>
      </w:r>
    </w:p>
    <w:p>
      <w:pPr>
        <w:pStyle w:val="ListBullet"/>
      </w:pPr>
      <w:r>
        <w:rPr>
          <w:rFonts w:ascii="Arial" w:hAnsi="Arial"/>
          <w:color w:val="111111"/>
          <w:sz w:val="21"/>
        </w:rPr>
        <w:t>What changes to this runbook are needed?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Owner: </w:t>
      </w:r>
      <w:r>
        <w:rPr>
          <w:rFonts w:ascii="Arial" w:hAnsi="Arial"/>
          <w:i/>
          <w:color w:val="555555"/>
          <w:sz w:val="21"/>
        </w:rPr>
        <w:t>[Owner]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Contact: </w:t>
      </w:r>
      <w:r>
        <w:rPr>
          <w:rFonts w:ascii="Arial" w:hAnsi="Arial"/>
          <w:i/>
          <w:color w:val="555555"/>
          <w:sz w:val="21"/>
        </w:rPr>
        <w:t>[Contact]</w:t>
      </w:r>
    </w:p>
    <w:p/>
    <w:p>
      <w:pPr>
        <w:pBdr>
          <w:bottom w:val="single" w:sz="6" w:space="1" w:color="CCCCCC"/>
        </w:pBdr>
      </w:pPr>
    </w:p>
    <w:p>
      <w:pPr>
        <w:pStyle w:val="Heading1"/>
      </w:pPr>
      <w:r>
        <w:rPr>
          <w:rFonts w:ascii="Arial" w:hAnsi="Arial"/>
          <w:b/>
          <w:color w:val="DB2777"/>
          <w:sz w:val="30"/>
        </w:rPr>
        <w:t>Ownership</w:t>
      </w:r>
    </w:p>
    <w:p>
      <w:pPr>
        <w:spacing w:after="120"/>
      </w:pPr>
      <w:r>
        <w:rPr>
          <w:rFonts w:ascii="Arial" w:hAnsi="Arial"/>
          <w:b w:val="0"/>
          <w:i w:val="0"/>
          <w:color w:val="111111"/>
          <w:sz w:val="21"/>
        </w:rPr>
        <w:t>In most organisations, AI incident response sits between security, data, and product teams. Define ownership explicitly before an incident occurs.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Incident response lead (role): </w:t>
      </w:r>
      <w:r>
        <w:rPr>
          <w:rFonts w:ascii="Arial" w:hAnsi="Arial"/>
          <w:i/>
          <w:color w:val="555555"/>
          <w:sz w:val="21"/>
        </w:rPr>
        <w:t>[Incident response lead (role)]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Security team contact: </w:t>
      </w:r>
      <w:r>
        <w:rPr>
          <w:rFonts w:ascii="Arial" w:hAnsi="Arial"/>
          <w:i/>
          <w:color w:val="555555"/>
          <w:sz w:val="21"/>
        </w:rPr>
        <w:t>[Security team contact]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ML / data engineering contact: </w:t>
      </w:r>
      <w:r>
        <w:rPr>
          <w:rFonts w:ascii="Arial" w:hAnsi="Arial"/>
          <w:i/>
          <w:color w:val="555555"/>
          <w:sz w:val="21"/>
        </w:rPr>
        <w:t>[ML / data engineering contact]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Business owner of affected system: </w:t>
      </w:r>
      <w:r>
        <w:rPr>
          <w:rFonts w:ascii="Arial" w:hAnsi="Arial"/>
          <w:i/>
          <w:color w:val="555555"/>
          <w:sz w:val="21"/>
        </w:rPr>
        <w:t>[Business owner of affected system]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Legal / DPO contact: </w:t>
      </w:r>
      <w:r>
        <w:rPr>
          <w:rFonts w:ascii="Arial" w:hAnsi="Arial"/>
          <w:i/>
          <w:color w:val="555555"/>
          <w:sz w:val="21"/>
        </w:rPr>
        <w:t>[Legal / DPO contact]</w:t>
      </w:r>
    </w:p>
    <w:p>
      <w:r>
        <w:br w:type="page"/>
      </w:r>
    </w:p>
    <w:p>
      <w:pPr>
        <w:pStyle w:val="Heading1"/>
      </w:pPr>
      <w:r>
        <w:rPr>
          <w:rFonts w:ascii="Arial" w:hAnsi="Arial"/>
          <w:b/>
          <w:color w:val="DB2777"/>
          <w:sz w:val="30"/>
        </w:rPr>
        <w:t>Appendix A: Worked Runbook — Suspected Prompt Injection</w:t>
      </w:r>
    </w:p>
    <w:p>
      <w:pPr>
        <w:spacing w:after="120"/>
      </w:pPr>
      <w:r>
        <w:rPr>
          <w:rFonts w:ascii="Arial" w:hAnsi="Arial"/>
          <w:b w:val="0"/>
          <w:i w:val="0"/>
          <w:color w:val="111111"/>
          <w:sz w:val="21"/>
        </w:rPr>
        <w:t>Use this runbook when a prompt injection attempt (direct or indirect) is suspected against an LLM-based system.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1. Identify the input that triggered concern and preserve it in an audit log.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2. Review recent inputs for similar patterns — check whether this is isolated or part of a campaign.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3. If the injection appears to have caused real-world action (data sent, transaction made), escalate to Class A immediately.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4. Temporarily restrict the input types that enabled the injection (e.g. block document uploads if indirect injection).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5. Notify security team and relevant business owner.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6. Conduct full review of what the model accessed or did during the session.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7. Implement additional input validation before re-enabling restricted functionality.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 of this runbook: </w:t>
      </w:r>
      <w:r>
        <w:rPr>
          <w:rFonts w:ascii="Arial" w:hAnsi="Arial"/>
          <w:i/>
          <w:color w:val="555555"/>
          <w:sz w:val="21"/>
        </w:rPr>
        <w:t>[Owner of this runbook]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Escalation contact: </w:t>
      </w:r>
      <w:r>
        <w:rPr>
          <w:rFonts w:ascii="Arial" w:hAnsi="Arial"/>
          <w:i/>
          <w:color w:val="555555"/>
          <w:sz w:val="21"/>
        </w:rPr>
        <w:t>[Escalation contact]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Affected system(s): </w:t>
      </w:r>
      <w:r>
        <w:rPr>
          <w:rFonts w:ascii="Arial" w:hAnsi="Arial"/>
          <w:i/>
          <w:color w:val="555555"/>
          <w:sz w:val="21"/>
        </w:rPr>
        <w:t>[Affected system(s)]</w:t>
      </w:r>
    </w:p>
    <w:p>
      <w:pPr>
        <w:pBdr>
          <w:bottom w:val="single" w:sz="6" w:space="1" w:color="CCCCCC"/>
        </w:pBdr>
      </w:pPr>
    </w:p>
    <w:p>
      <w:pPr>
        <w:pStyle w:val="Heading1"/>
      </w:pPr>
      <w:r>
        <w:rPr>
          <w:rFonts w:ascii="Arial" w:hAnsi="Arial"/>
          <w:b/>
          <w:color w:val="DB2777"/>
          <w:sz w:val="30"/>
        </w:rPr>
        <w:t>Appendix B: Worked Runbook — Suspected Model Extraction</w:t>
      </w:r>
    </w:p>
    <w:p>
      <w:pPr>
        <w:spacing w:after="120"/>
      </w:pPr>
      <w:r>
        <w:rPr>
          <w:rFonts w:ascii="Arial" w:hAnsi="Arial"/>
          <w:b w:val="0"/>
          <w:i w:val="0"/>
          <w:color w:val="111111"/>
          <w:sz w:val="21"/>
        </w:rPr>
        <w:t>Use this runbook when anomalous query volume or patterns suggest an attempt to extract or replicate a proprietary model.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1. Identify the source account/IP generating anomalous query volumes.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2. Immediately rate-limit or block the source.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3. Preserve logs of all queries from that source.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4. Assess the volume of queries — has enough been collected to build a functional replica?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5. If extraction is likely successful, assess whether the model represents a significant IP asset and initiate legal and commercial response in parallel.</w:t>
      </w:r>
    </w:p>
    <w:p>
      <w:pPr>
        <w:spacing w:after="80"/>
      </w:pPr>
      <w:r>
        <w:rPr>
          <w:rFonts w:ascii="Arial" w:hAnsi="Arial"/>
          <w:b w:val="0"/>
          <w:i w:val="0"/>
          <w:color w:val="111111"/>
          <w:sz w:val="21"/>
        </w:rPr>
        <w:t>6. Review API access controls and implement tighter rate limits system-wide.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Owner of this runbook: </w:t>
      </w:r>
      <w:r>
        <w:rPr>
          <w:rFonts w:ascii="Arial" w:hAnsi="Arial"/>
          <w:i/>
          <w:color w:val="555555"/>
          <w:sz w:val="21"/>
        </w:rPr>
        <w:t>[Owner of this runbook]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Escalation contact: </w:t>
      </w:r>
      <w:r>
        <w:rPr>
          <w:rFonts w:ascii="Arial" w:hAnsi="Arial"/>
          <w:i/>
          <w:color w:val="555555"/>
          <w:sz w:val="21"/>
        </w:rPr>
        <w:t>[Escalation contact]</w:t>
      </w:r>
    </w:p>
    <w:p>
      <w:pPr>
        <w:spacing w:after="80"/>
      </w:pPr>
      <w:r>
        <w:rPr>
          <w:rFonts w:ascii="Arial" w:hAnsi="Arial"/>
          <w:b/>
          <w:color w:val="111111"/>
          <w:sz w:val="21"/>
        </w:rPr>
        <w:t xml:space="preserve">Affected system(s): </w:t>
      </w:r>
      <w:r>
        <w:rPr>
          <w:rFonts w:ascii="Arial" w:hAnsi="Arial"/>
          <w:i/>
          <w:color w:val="555555"/>
          <w:sz w:val="21"/>
        </w:rPr>
        <w:t>[Affected system(s)]</w:t>
      </w:r>
    </w:p>
    <w:p>
      <w:pPr>
        <w:spacing w:after="120"/>
      </w:pPr>
      <w:r>
        <w:rPr>
          <w:rFonts w:ascii="Arial" w:hAnsi="Arial"/>
          <w:b w:val="0"/>
          <w:i/>
          <w:color w:val="555555"/>
          <w:sz w:val="21"/>
        </w:rPr>
        <w:t>You don't need a complete runbook library on day one. Start with the most likely incident for your highest-risk AI system, then build from there.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411" w:val="right"/>
      </w:tabs>
      <w:jc w:val="left"/>
    </w:pPr>
    <w:r/>
    <w:r>
      <w:rPr>
        <w:rFonts w:ascii="Arial" w:hAnsi="Arial"/>
        <w:color w:val="555555"/>
        <w:sz w:val="16"/>
      </w:rPr>
      <w:t>u4riaai.com — U4RIA Academy</w:t>
    </w:r>
    <w:r>
      <w:rPr>
        <w:sz w:val="16"/>
      </w:rPr>
      <w:tab/>
    </w:r>
    <w:r>
      <w:rPr>
        <w:rFonts w:ascii="Arial" w:hAnsi="Arial"/>
        <w:color w:val="555555"/>
        <w:sz w:val="16"/>
      </w:rPr>
      <w:t xml:space="preserve">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555555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411" w:val="right"/>
      </w:tabs>
      <w:jc w:val="left"/>
      <w:pBdr>
        <w:bottom w:val="single" w:sz="6" w:space="4" w:color="DB2777"/>
      </w:pBdr>
    </w:pPr>
    <w:r/>
    <w:r>
      <w:rPr>
        <w:rFonts w:ascii="Arial" w:hAnsi="Arial"/>
        <w:b/>
        <w:caps/>
        <w:color w:val="DB2777"/>
        <w:sz w:val="18"/>
      </w:rPr>
      <w:t>U4RIA ACADEMY</w:t>
    </w:r>
    <w:r>
      <w:rPr>
        <w:rFonts w:ascii="Arial" w:hAnsi="Arial"/>
        <w:color w:val="555555"/>
        <w:sz w:val="18"/>
      </w:rPr>
      <w:tab/>
      <w:t>AI Incident Response Runbook —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111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DB277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DB277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DB277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